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2832" w:hanging="2832"/>
        <w:jc w:val="center"/>
        <w:keepNext/>
        <w:spacing w:line="23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Техническое задание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keepNext/>
        <w:spacing w:line="230" w:lineRule="auto"/>
        <w:rPr>
          <w:b/>
          <w:bCs/>
          <w:iCs/>
          <w:sz w:val="26"/>
          <w:szCs w:val="26"/>
        </w:rPr>
      </w:pPr>
      <w:r>
        <w:rPr>
          <w:b/>
          <w:sz w:val="26"/>
          <w:szCs w:val="26"/>
        </w:rPr>
        <w:t xml:space="preserve">на заключение Рамочных соглашений  на выполнение строительно-монтажных </w:t>
      </w:r>
      <w:r>
        <w:rPr>
          <w:b/>
          <w:sz w:val="26"/>
          <w:szCs w:val="26"/>
        </w:rPr>
        <w:t xml:space="preserve">и пуско-наладочных </w:t>
      </w:r>
      <w:r>
        <w:rPr>
          <w:b/>
          <w:sz w:val="26"/>
          <w:szCs w:val="26"/>
        </w:rPr>
        <w:t xml:space="preserve">работ по </w:t>
      </w:r>
      <w:r>
        <w:rPr>
          <w:b/>
          <w:sz w:val="26"/>
          <w:szCs w:val="26"/>
        </w:rPr>
        <w:t xml:space="preserve">техническому перевооружению,</w:t>
      </w:r>
      <w:r>
        <w:rPr>
          <w:b/>
          <w:sz w:val="26"/>
          <w:szCs w:val="26"/>
        </w:rPr>
        <w:t xml:space="preserve"> реконструкции, строительству  </w:t>
      </w:r>
      <w:r>
        <w:rPr>
          <w:b/>
          <w:sz w:val="26"/>
          <w:szCs w:val="26"/>
        </w:rPr>
        <w:t xml:space="preserve">ВЛ</w:t>
      </w:r>
      <w:r>
        <w:rPr>
          <w:b/>
          <w:sz w:val="26"/>
          <w:szCs w:val="26"/>
        </w:rPr>
        <w:t xml:space="preserve"> -10 </w:t>
      </w:r>
      <w:r>
        <w:rPr>
          <w:b/>
          <w:sz w:val="26"/>
          <w:szCs w:val="26"/>
        </w:rPr>
        <w:t xml:space="preserve">кВ</w:t>
      </w:r>
      <w:r>
        <w:rPr>
          <w:b/>
          <w:sz w:val="26"/>
          <w:szCs w:val="26"/>
        </w:rPr>
        <w:t xml:space="preserve">, ВЛ -0,4 </w:t>
      </w:r>
      <w:r>
        <w:rPr>
          <w:b/>
          <w:sz w:val="26"/>
          <w:szCs w:val="26"/>
        </w:rPr>
        <w:t xml:space="preserve">кВ</w:t>
      </w:r>
      <w:r>
        <w:rPr>
          <w:b/>
          <w:sz w:val="26"/>
          <w:szCs w:val="26"/>
        </w:rPr>
        <w:t xml:space="preserve">,  КЛ-10 </w:t>
      </w:r>
      <w:r>
        <w:rPr>
          <w:b/>
          <w:sz w:val="26"/>
          <w:szCs w:val="26"/>
        </w:rPr>
        <w:t xml:space="preserve">кВ</w:t>
      </w:r>
      <w:r>
        <w:rPr>
          <w:b/>
          <w:sz w:val="26"/>
          <w:szCs w:val="26"/>
        </w:rPr>
        <w:t xml:space="preserve">, КЛ-0,4 </w:t>
      </w:r>
      <w:r>
        <w:rPr>
          <w:b/>
          <w:sz w:val="26"/>
          <w:szCs w:val="26"/>
        </w:rPr>
        <w:t xml:space="preserve">кВ</w:t>
      </w:r>
      <w:r>
        <w:rPr>
          <w:b/>
          <w:sz w:val="26"/>
          <w:szCs w:val="26"/>
        </w:rPr>
        <w:t xml:space="preserve">, КТП 10/0,4кВ, СТП 10/0,4кВ, РТП 10/0,4 </w:t>
      </w:r>
      <w:r>
        <w:rPr>
          <w:b/>
          <w:sz w:val="26"/>
          <w:szCs w:val="26"/>
        </w:rPr>
        <w:t xml:space="preserve">кВ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 разработкой ПСД и РД</w:t>
      </w:r>
      <w:r>
        <w:rPr>
          <w:b/>
          <w:bCs/>
          <w:iCs/>
          <w:sz w:val="26"/>
          <w:szCs w:val="26"/>
        </w:rPr>
      </w:r>
      <w:r>
        <w:rPr>
          <w:b/>
          <w:bCs/>
          <w:iCs/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Основание для проектирования.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keepNext/>
        <w:spacing w:line="230" w:lineRule="auto"/>
        <w:rPr>
          <w:sz w:val="26"/>
          <w:szCs w:val="26"/>
        </w:rPr>
      </w:pPr>
      <w:r>
        <w:rPr>
          <w:sz w:val="26"/>
          <w:szCs w:val="26"/>
        </w:rPr>
        <w:t xml:space="preserve">1.1. Инвестиционная программа  АО  "Россети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keepNext/>
        <w:spacing w:line="230" w:lineRule="auto"/>
        <w:rPr>
          <w:b/>
          <w:bCs/>
          <w:sz w:val="26"/>
          <w:szCs w:val="26"/>
        </w:rPr>
      </w:pPr>
      <w:r/>
      <w:bookmarkStart w:id="0" w:name="_GoBack"/>
      <w:r/>
      <w:bookmarkEnd w:id="0"/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keepNext/>
        <w:spacing w:line="23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Общие требования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>
        <w:rPr>
          <w:sz w:val="26"/>
          <w:szCs w:val="26"/>
        </w:rPr>
        <w:t xml:space="preserve">Предметом настояще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закупки</w:t>
      </w:r>
      <w:r>
        <w:rPr>
          <w:sz w:val="26"/>
          <w:szCs w:val="26"/>
        </w:rPr>
        <w:t xml:space="preserve"> является право заключения Рамочных соглашений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</w:t>
      </w:r>
      <w:r>
        <w:rPr>
          <w:sz w:val="26"/>
          <w:szCs w:val="26"/>
        </w:rPr>
        <w:t xml:space="preserve">е </w:t>
      </w:r>
      <w:r>
        <w:rPr>
          <w:sz w:val="26"/>
          <w:szCs w:val="26"/>
        </w:rPr>
        <w:t xml:space="preserve">Соглашения), </w:t>
      </w:r>
      <w:r>
        <w:rPr>
          <w:sz w:val="26"/>
          <w:szCs w:val="26"/>
        </w:rPr>
        <w:t xml:space="preserve">определенных</w:t>
      </w:r>
      <w:r>
        <w:rPr>
          <w:sz w:val="26"/>
          <w:szCs w:val="26"/>
        </w:rPr>
        <w:t xml:space="preserve"> по результатам проведенн</w:t>
      </w:r>
      <w:r>
        <w:rPr>
          <w:sz w:val="26"/>
          <w:szCs w:val="26"/>
        </w:rPr>
        <w:t xml:space="preserve">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предварительного отбора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выполнение строительно-монтажных и пуско-наладочных работ по техническому перевооружению, реконструкции, строительству  </w:t>
      </w:r>
      <w:r>
        <w:rPr>
          <w:sz w:val="26"/>
          <w:szCs w:val="26"/>
        </w:rPr>
        <w:t xml:space="preserve">ВЛ</w:t>
      </w:r>
      <w:r>
        <w:rPr>
          <w:sz w:val="26"/>
          <w:szCs w:val="26"/>
        </w:rPr>
        <w:t xml:space="preserve"> 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ВЛ 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 КЛ-10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КЛ-0,4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КТП 10/0,4кВ, СТП 10/0,4кВ, РТП 10/0,4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 с разработкой ПСД и РД </w:t>
      </w:r>
      <w:r>
        <w:rPr>
          <w:sz w:val="26"/>
          <w:szCs w:val="26"/>
        </w:rPr>
        <w:t xml:space="preserve">в регион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присутствия </w:t>
      </w:r>
      <w:r>
        <w:rPr>
          <w:sz w:val="26"/>
          <w:szCs w:val="26"/>
        </w:rPr>
        <w:t xml:space="preserve">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 (Республика Тыва)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 целях выполнения принятых на себя обязательств по договорам технологического присоединения </w:t>
      </w:r>
      <w:r>
        <w:rPr>
          <w:sz w:val="26"/>
          <w:szCs w:val="26"/>
        </w:rPr>
        <w:t xml:space="preserve">энергопринимающих</w:t>
      </w:r>
      <w:r>
        <w:rPr>
          <w:sz w:val="26"/>
          <w:szCs w:val="26"/>
        </w:rPr>
        <w:t xml:space="preserve"> устройств потребителей электрической энергии к электрическим сетям 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Заказчик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по мере возникновения у него потребности в </w:t>
      </w:r>
      <w:r>
        <w:rPr>
          <w:sz w:val="26"/>
          <w:szCs w:val="26"/>
        </w:rPr>
        <w:t xml:space="preserve">выполнении строительно-монтажных работ с разработкой проектно-сметной документации</w:t>
      </w:r>
      <w:r>
        <w:rPr>
          <w:sz w:val="26"/>
          <w:szCs w:val="26"/>
        </w:rPr>
        <w:t xml:space="preserve">, в течение периода действия </w:t>
      </w:r>
      <w:r>
        <w:rPr>
          <w:sz w:val="26"/>
          <w:szCs w:val="26"/>
        </w:rPr>
        <w:t xml:space="preserve">Соглашений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про</w:t>
      </w:r>
      <w:r>
        <w:rPr>
          <w:sz w:val="26"/>
          <w:szCs w:val="26"/>
        </w:rPr>
        <w:t xml:space="preserve">водит зак</w:t>
      </w:r>
      <w:r>
        <w:rPr>
          <w:sz w:val="26"/>
          <w:szCs w:val="26"/>
        </w:rPr>
        <w:t xml:space="preserve">упочные процедуры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результатам </w:t>
      </w:r>
      <w:r>
        <w:rPr>
          <w:sz w:val="26"/>
          <w:szCs w:val="26"/>
        </w:rPr>
        <w:t xml:space="preserve">проведенного предварительного отбора</w:t>
      </w:r>
      <w:r>
        <w:rPr>
          <w:sz w:val="26"/>
          <w:szCs w:val="26"/>
        </w:rPr>
        <w:t xml:space="preserve"> на право заключения рамочных соглашений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Запрос цен), </w:t>
      </w:r>
      <w:r>
        <w:rPr>
          <w:sz w:val="26"/>
          <w:szCs w:val="26"/>
        </w:rPr>
        <w:t xml:space="preserve">и в обязательном порядке </w:t>
      </w:r>
      <w:r>
        <w:rPr>
          <w:sz w:val="26"/>
          <w:szCs w:val="26"/>
        </w:rPr>
        <w:t xml:space="preserve">направляет </w:t>
      </w:r>
      <w:r>
        <w:rPr>
          <w:sz w:val="26"/>
          <w:szCs w:val="26"/>
        </w:rPr>
        <w:t xml:space="preserve">приглашение о проведении данны</w:t>
      </w:r>
      <w:r>
        <w:rPr>
          <w:sz w:val="26"/>
          <w:szCs w:val="26"/>
        </w:rPr>
        <w:t xml:space="preserve">х закупок победителям настоящей закупки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Победители настояще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закупки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о</w:t>
      </w:r>
      <w:r>
        <w:rPr>
          <w:sz w:val="26"/>
          <w:szCs w:val="26"/>
        </w:rPr>
        <w:t xml:space="preserve">бязуются</w:t>
      </w:r>
      <w:r>
        <w:rPr>
          <w:sz w:val="26"/>
          <w:szCs w:val="26"/>
        </w:rPr>
        <w:t xml:space="preserve"> принимать участие 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Запросах цен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предоставлять заказчику сведения по его запросам в сроки и в объеме, указанные в закупочной документации.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Конкретный объем </w:t>
      </w:r>
      <w:r>
        <w:rPr>
          <w:sz w:val="26"/>
          <w:szCs w:val="26"/>
        </w:rPr>
        <w:t xml:space="preserve">выполняемых </w:t>
      </w:r>
      <w:r>
        <w:rPr>
          <w:sz w:val="26"/>
          <w:szCs w:val="26"/>
        </w:rPr>
        <w:t xml:space="preserve">строительно-монтажных работ</w:t>
      </w:r>
      <w:r>
        <w:rPr>
          <w:sz w:val="26"/>
          <w:szCs w:val="26"/>
        </w:rPr>
        <w:t xml:space="preserve"> с разработкой проектно-сметной документации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порядок оплаты, сроки выполнения работ и иные существенные условия будут указыва</w:t>
      </w:r>
      <w:r>
        <w:rPr>
          <w:sz w:val="26"/>
          <w:szCs w:val="26"/>
        </w:rPr>
        <w:t xml:space="preserve">ться в документации </w:t>
      </w: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апроса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цен</w:t>
      </w:r>
      <w:r>
        <w:rPr>
          <w:sz w:val="26"/>
          <w:szCs w:val="26"/>
        </w:rPr>
        <w:t xml:space="preserve">, по результатам проведенн</w:t>
      </w:r>
      <w:r>
        <w:rPr>
          <w:sz w:val="26"/>
          <w:szCs w:val="26"/>
        </w:rPr>
        <w:t xml:space="preserve">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закупки</w:t>
      </w:r>
      <w:r>
        <w:rPr>
          <w:sz w:val="26"/>
          <w:szCs w:val="26"/>
        </w:rPr>
        <w:t xml:space="preserve"> на право заключения рамочных соглашений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</w:t>
      </w:r>
      <w:r>
        <w:rPr>
          <w:sz w:val="26"/>
          <w:szCs w:val="26"/>
        </w:rPr>
        <w:t xml:space="preserve">. По результатам </w:t>
      </w:r>
      <w:r>
        <w:rPr>
          <w:sz w:val="26"/>
          <w:szCs w:val="26"/>
        </w:rPr>
        <w:t xml:space="preserve">Запрос</w:t>
      </w:r>
      <w:r>
        <w:rPr>
          <w:sz w:val="26"/>
          <w:szCs w:val="26"/>
        </w:rPr>
        <w:t xml:space="preserve">ов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цен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между Победител</w:t>
      </w:r>
      <w:r>
        <w:rPr>
          <w:sz w:val="26"/>
          <w:szCs w:val="26"/>
        </w:rPr>
        <w:t xml:space="preserve">я</w:t>
      </w:r>
      <w:r>
        <w:rPr>
          <w:sz w:val="26"/>
          <w:szCs w:val="26"/>
        </w:rPr>
        <w:t xml:space="preserve">м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 закупочных процеду</w:t>
      </w:r>
      <w:r>
        <w:rPr>
          <w:sz w:val="26"/>
          <w:szCs w:val="26"/>
        </w:rPr>
        <w:t xml:space="preserve">р и Заказчиком</w:t>
      </w:r>
      <w:r>
        <w:rPr>
          <w:sz w:val="26"/>
          <w:szCs w:val="26"/>
        </w:rPr>
        <w:t xml:space="preserve"> будут заключаться договоры подряда (далее – Договоры).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</w:t>
      </w:r>
      <w:r>
        <w:rPr>
          <w:sz w:val="26"/>
          <w:szCs w:val="26"/>
        </w:rPr>
        <w:t xml:space="preserve">. 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</w:t>
      </w:r>
      <w:r>
        <w:rPr>
          <w:sz w:val="26"/>
          <w:szCs w:val="26"/>
        </w:rPr>
        <w:t xml:space="preserve">. Условия Договоров, заключаемых в соответствии с настоящим соглашением не должны противоречить требованиям настояще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закупки</w:t>
      </w:r>
      <w:r>
        <w:rPr>
          <w:sz w:val="26"/>
          <w:szCs w:val="26"/>
        </w:rPr>
        <w:t xml:space="preserve"> и закупочных процедур.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keepNext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r>
        <w:rPr>
          <w:b/>
          <w:bCs/>
          <w:sz w:val="26"/>
          <w:szCs w:val="26"/>
        </w:rPr>
        <w:t xml:space="preserve">Вид строительства и этапы разработки проекта.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Проектно-сметная документация на </w:t>
      </w:r>
      <w:r>
        <w:rPr>
          <w:sz w:val="26"/>
          <w:szCs w:val="26"/>
        </w:rPr>
        <w:t xml:space="preserve">техническое перевооружение, реконструкцию и </w:t>
      </w:r>
      <w:r>
        <w:rPr>
          <w:sz w:val="26"/>
          <w:szCs w:val="26"/>
        </w:rPr>
        <w:t xml:space="preserve">новое </w:t>
      </w:r>
      <w:r>
        <w:rPr>
          <w:sz w:val="26"/>
          <w:szCs w:val="26"/>
        </w:rPr>
        <w:t xml:space="preserve">строительство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ВЛ</w:t>
      </w:r>
      <w:r>
        <w:rPr>
          <w:sz w:val="26"/>
          <w:szCs w:val="26"/>
        </w:rPr>
        <w:t xml:space="preserve"> 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ВЛ 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 КЛ-10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КЛ-0,4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КТП 10/0,4кВ, СТП 10/0,4кВ, РТП 10/0,4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регион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присутствия </w:t>
      </w:r>
      <w:r>
        <w:rPr>
          <w:sz w:val="26"/>
          <w:szCs w:val="26"/>
        </w:rPr>
        <w:t xml:space="preserve">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 (Республика Тыва).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Рабочая документация на </w:t>
      </w:r>
      <w:r>
        <w:rPr>
          <w:sz w:val="26"/>
          <w:szCs w:val="26"/>
        </w:rPr>
        <w:t xml:space="preserve">техническое перевооружение, реконструкцию и новое строительство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ВЛ</w:t>
      </w:r>
      <w:r>
        <w:rPr>
          <w:sz w:val="26"/>
          <w:szCs w:val="26"/>
        </w:rPr>
        <w:t xml:space="preserve"> 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ВЛ 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 КЛ-10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КЛ-0,4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КТП 10/0,4кВ, СТП 10/0,4кВ, РТП 10/0,4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регион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присутствия </w:t>
      </w:r>
      <w:r>
        <w:rPr>
          <w:sz w:val="26"/>
          <w:szCs w:val="26"/>
        </w:rPr>
        <w:t xml:space="preserve">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 (Республика Тыва).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keepNext/>
        <w:rPr>
          <w:sz w:val="26"/>
          <w:szCs w:val="26"/>
        </w:rPr>
      </w:pPr>
      <w:r>
        <w:rPr>
          <w:sz w:val="26"/>
          <w:szCs w:val="26"/>
        </w:rPr>
        <w:t xml:space="preserve">3.3. Строительно-монтажные работы выполнить в соответствии с разработанной и утвержденной проектно-сметной документацией.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35"/>
        </w:numPr>
        <w:ind w:left="0" w:firstLine="709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Основные характеристики </w:t>
      </w:r>
      <w:r>
        <w:rPr>
          <w:b/>
          <w:bCs/>
          <w:sz w:val="26"/>
          <w:szCs w:val="26"/>
        </w:rPr>
        <w:t xml:space="preserve">строящегося</w:t>
      </w:r>
      <w:r>
        <w:rPr>
          <w:b/>
          <w:bCs/>
          <w:sz w:val="26"/>
          <w:szCs w:val="26"/>
        </w:rPr>
        <w:t xml:space="preserve"> объекта</w:t>
      </w:r>
      <w:r>
        <w:rPr>
          <w:bCs/>
          <w:sz w:val="26"/>
          <w:szCs w:val="26"/>
        </w:rPr>
        <w:t xml:space="preserve">.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numPr>
          <w:ilvl w:val="1"/>
          <w:numId w:val="3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характеристики объект</w:t>
      </w:r>
      <w:r>
        <w:rPr>
          <w:sz w:val="26"/>
          <w:szCs w:val="26"/>
        </w:rPr>
        <w:t xml:space="preserve">а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ов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 указ</w:t>
      </w:r>
      <w:r>
        <w:rPr>
          <w:sz w:val="26"/>
          <w:szCs w:val="26"/>
        </w:rPr>
        <w:t xml:space="preserve">ываются</w:t>
      </w:r>
      <w:r>
        <w:rPr>
          <w:sz w:val="26"/>
          <w:szCs w:val="26"/>
        </w:rPr>
        <w:t xml:space="preserve"> в технических задания</w:t>
      </w:r>
      <w:r>
        <w:rPr>
          <w:sz w:val="26"/>
          <w:szCs w:val="26"/>
        </w:rPr>
        <w:t xml:space="preserve">х</w:t>
      </w:r>
      <w:r>
        <w:rPr>
          <w:sz w:val="26"/>
          <w:szCs w:val="26"/>
        </w:rPr>
        <w:t xml:space="preserve"> на проведение Запроса </w:t>
      </w:r>
      <w:r>
        <w:rPr>
          <w:sz w:val="26"/>
          <w:szCs w:val="26"/>
        </w:rPr>
        <w:t xml:space="preserve">цен</w:t>
      </w:r>
      <w:r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утвержденных </w:t>
      </w:r>
      <w:r>
        <w:rPr>
          <w:sz w:val="26"/>
          <w:szCs w:val="26"/>
        </w:rPr>
        <w:t xml:space="preserve">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720" w:firstLine="0"/>
        <w:jc w:val="both"/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9"/>
        <w:ind w:left="0" w:firstLine="709"/>
        <w:jc w:val="both"/>
        <w:spacing w:after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В составе проекта обосновать и выполнить.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5.1. </w:t>
      </w:r>
      <w:r>
        <w:rPr>
          <w:sz w:val="26"/>
          <w:szCs w:val="26"/>
        </w:rPr>
        <w:t xml:space="preserve">Проектно-изыскательские работы в соответствии с техническим заданием и представить на рассмотрение и согласование в </w:t>
      </w:r>
      <w:r>
        <w:rPr>
          <w:sz w:val="26"/>
          <w:szCs w:val="26"/>
        </w:rPr>
        <w:t xml:space="preserve">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</w:t>
      </w:r>
      <w:r>
        <w:rPr>
          <w:sz w:val="26"/>
          <w:szCs w:val="26"/>
        </w:rPr>
        <w:t xml:space="preserve"> для утверждения руководством </w:t>
      </w:r>
      <w:r>
        <w:rPr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в объеме: пояснительная записка, проект организации строительства, электротехнические решения, сметная документация, согласно Постановления Правит</w:t>
      </w:r>
      <w:r>
        <w:rPr>
          <w:sz w:val="26"/>
          <w:szCs w:val="26"/>
        </w:rPr>
        <w:t xml:space="preserve">ельства РФ №87 от 16.02.2008г. "</w:t>
      </w:r>
      <w:r>
        <w:rPr>
          <w:sz w:val="26"/>
          <w:szCs w:val="26"/>
        </w:rPr>
        <w:t xml:space="preserve">О составе разделов проектной документации и требованиях к их содержанию</w:t>
      </w:r>
      <w:r>
        <w:rPr>
          <w:sz w:val="26"/>
          <w:szCs w:val="26"/>
        </w:rPr>
        <w:t xml:space="preserve">"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5.2. Предусмотреть выполнение противопожарных мероприятий в соответствии с действующими отраслевыми правилами пожарной безопасности для объектов электросетевого хозяйства.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5.3.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метную стоимость строительства определить в соответствии с       приказом Минстроя России от 30.12.2021 №1046/пр по Федеральной       сметно-нормативной (ФСНБ-2022) ресурсно-индексным методом с       использованием сметных норм, сметных цен строительных ре</w:t>
      </w:r>
      <w:r>
        <w:rPr>
          <w:sz w:val="26"/>
          <w:szCs w:val="26"/>
        </w:rPr>
        <w:t xml:space="preserve">сурсов в       базисном уровне цен и одновременно применением информации о       сметных ценах, а также индексов изменения сметной стоимости к       группам однородности строительных ресурсов и отдельных видов       прочих работ и затрат.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5.4. </w:t>
      </w:r>
      <w:r>
        <w:rPr>
          <w:sz w:val="26"/>
          <w:szCs w:val="26"/>
        </w:rPr>
        <w:t xml:space="preserve">Получить А</w:t>
      </w:r>
      <w:r>
        <w:rPr>
          <w:sz w:val="26"/>
          <w:szCs w:val="26"/>
        </w:rPr>
        <w:t xml:space="preserve">ПЗ (архитектурно-планировочное задание), получить акт выбора земельного участка и предварительное согласование размещения объекта, получение распорядительного акта о предварительном согласовании места размещения объекта строительства на земельном участке, </w:t>
      </w:r>
      <w:r>
        <w:rPr>
          <w:sz w:val="26"/>
          <w:szCs w:val="26"/>
        </w:rPr>
        <w:t xml:space="preserve">выполнить кадастровые работы по формированию земельного участка с постановкой на кадастровый учет, получение распорядительного акта о предоставлении в аренду земельного участка, получение градостроительного плана земельного участка, получение в управлении </w:t>
      </w:r>
      <w:r>
        <w:rPr>
          <w:sz w:val="26"/>
          <w:szCs w:val="26"/>
        </w:rPr>
        <w:t xml:space="preserve">Росреестра</w:t>
      </w:r>
      <w:r>
        <w:rPr>
          <w:sz w:val="26"/>
          <w:szCs w:val="26"/>
        </w:rPr>
        <w:t xml:space="preserve"> зарегистрированного договора аренды.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5.5.   Провести согласование ПСД со всеми заинтересованными сторонами: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- балансодержателями сетей инженерно-технического обеспечения;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- землепользователями земельных участков;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5.6. </w:t>
      </w:r>
      <w:r>
        <w:rPr>
          <w:sz w:val="26"/>
          <w:szCs w:val="26"/>
        </w:rPr>
        <w:t xml:space="preserve">Проектно-сметную документацию в полном объеме (включая обосновывающие расчеты) представить заказчику в 4-х экземплярах на бумажном носителе и в 1 экз. в электронном виде на </w:t>
      </w:r>
      <w:r>
        <w:rPr>
          <w:sz w:val="26"/>
          <w:szCs w:val="26"/>
          <w:lang w:val="en-US"/>
        </w:rPr>
        <w:t xml:space="preserve">CD</w:t>
      </w:r>
      <w:r>
        <w:rPr>
          <w:sz w:val="26"/>
          <w:szCs w:val="26"/>
        </w:rPr>
        <w:t xml:space="preserve">, при этом текстовую и графическую информацию представить в стандартных форматах </w:t>
      </w:r>
      <w:r>
        <w:rPr>
          <w:sz w:val="26"/>
          <w:szCs w:val="26"/>
          <w:lang w:val="en-US"/>
        </w:rPr>
        <w:t xml:space="preserve">MS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 xml:space="preserve">Office</w:t>
      </w:r>
      <w:r>
        <w:rPr>
          <w:sz w:val="26"/>
          <w:szCs w:val="26"/>
        </w:rPr>
        <w:t xml:space="preserve"> (*.</w:t>
      </w:r>
      <w:r>
        <w:rPr>
          <w:sz w:val="26"/>
          <w:szCs w:val="26"/>
          <w:lang w:val="en-US"/>
        </w:rPr>
        <w:t xml:space="preserve">docx</w:t>
      </w:r>
      <w:r>
        <w:rPr>
          <w:sz w:val="26"/>
          <w:szCs w:val="26"/>
        </w:rPr>
        <w:t xml:space="preserve">, *.</w:t>
      </w:r>
      <w:r>
        <w:rPr>
          <w:sz w:val="26"/>
          <w:szCs w:val="26"/>
          <w:lang w:val="en-US"/>
        </w:rPr>
        <w:t xml:space="preserve">xlsx</w:t>
      </w:r>
      <w:r>
        <w:rPr>
          <w:sz w:val="26"/>
          <w:szCs w:val="26"/>
        </w:rPr>
        <w:t xml:space="preserve">), </w:t>
      </w:r>
      <w:r>
        <w:rPr>
          <w:sz w:val="26"/>
          <w:szCs w:val="26"/>
          <w:lang w:val="en-US"/>
        </w:rPr>
        <w:t xml:space="preserve">Acrobat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 xml:space="preserve">Reader</w:t>
      </w:r>
      <w:r>
        <w:rPr>
          <w:sz w:val="26"/>
          <w:szCs w:val="26"/>
        </w:rPr>
        <w:t xml:space="preserve"> (*.</w:t>
      </w:r>
      <w:r>
        <w:rPr>
          <w:sz w:val="26"/>
          <w:szCs w:val="26"/>
          <w:lang w:val="en-US"/>
        </w:rPr>
        <w:t xml:space="preserve">pdf</w:t>
      </w:r>
      <w:r>
        <w:rPr>
          <w:sz w:val="26"/>
          <w:szCs w:val="26"/>
        </w:rPr>
        <w:t xml:space="preserve">), </w:t>
      </w:r>
      <w:r>
        <w:rPr>
          <w:sz w:val="26"/>
          <w:szCs w:val="26"/>
          <w:lang w:val="en-US"/>
        </w:rPr>
        <w:t xml:space="preserve">AutoCAD</w:t>
      </w:r>
      <w:r>
        <w:rPr>
          <w:sz w:val="26"/>
          <w:szCs w:val="26"/>
        </w:rPr>
        <w:t xml:space="preserve"> (*.</w:t>
      </w:r>
      <w:r>
        <w:rPr>
          <w:sz w:val="26"/>
          <w:szCs w:val="26"/>
          <w:lang w:val="en-US"/>
        </w:rPr>
        <w:t xml:space="preserve">dwg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сметную документацию в формате "</w:t>
      </w:r>
      <w:r>
        <w:rPr>
          <w:sz w:val="26"/>
          <w:szCs w:val="26"/>
        </w:rPr>
        <w:t xml:space="preserve">Гранд-Смета</w:t>
      </w:r>
      <w:r>
        <w:rPr>
          <w:sz w:val="26"/>
          <w:szCs w:val="26"/>
        </w:rPr>
        <w:t xml:space="preserve">"</w:t>
      </w:r>
      <w:r>
        <w:rPr>
          <w:sz w:val="26"/>
          <w:szCs w:val="26"/>
        </w:rPr>
        <w:t xml:space="preserve"> (*.</w:t>
      </w:r>
      <w:r>
        <w:rPr>
          <w:sz w:val="26"/>
          <w:szCs w:val="26"/>
          <w:lang w:val="en-US"/>
        </w:rPr>
        <w:t xml:space="preserve">gsfx</w:t>
      </w:r>
      <w:r>
        <w:rPr>
          <w:sz w:val="26"/>
          <w:szCs w:val="26"/>
        </w:rPr>
        <w:t xml:space="preserve">, *.</w:t>
      </w:r>
      <w:r>
        <w:rPr>
          <w:sz w:val="26"/>
          <w:szCs w:val="26"/>
          <w:lang w:val="en-US"/>
        </w:rPr>
        <w:t xml:space="preserve">xlsx</w:t>
      </w:r>
      <w:r>
        <w:rPr>
          <w:sz w:val="26"/>
          <w:szCs w:val="26"/>
        </w:rPr>
        <w:t xml:space="preserve">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5.7. 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редоставить </w:t>
      </w:r>
      <w:r>
        <w:rPr>
          <w:sz w:val="26"/>
          <w:szCs w:val="26"/>
        </w:rPr>
        <w:t xml:space="preserve">Заказчику </w:t>
      </w:r>
      <w:r>
        <w:rPr>
          <w:sz w:val="26"/>
          <w:szCs w:val="26"/>
        </w:rPr>
        <w:t xml:space="preserve">отчёт</w:t>
      </w:r>
      <w:r>
        <w:rPr>
          <w:sz w:val="26"/>
          <w:szCs w:val="26"/>
        </w:rPr>
        <w:t xml:space="preserve"> по инженерным изысканиям в 2</w:t>
      </w:r>
      <w:r>
        <w:rPr>
          <w:sz w:val="26"/>
          <w:szCs w:val="26"/>
        </w:rPr>
        <w:t xml:space="preserve">-х экземплярах</w:t>
      </w:r>
      <w:r>
        <w:rPr>
          <w:sz w:val="26"/>
          <w:szCs w:val="26"/>
        </w:rPr>
        <w:t xml:space="preserve"> (при необходимости)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709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6.Особые условия.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r>
        <w:rPr>
          <w:sz w:val="26"/>
          <w:szCs w:val="26"/>
        </w:rPr>
        <w:t xml:space="preserve">Техническое перевооружение, с</w:t>
      </w:r>
      <w:r>
        <w:rPr>
          <w:sz w:val="26"/>
          <w:szCs w:val="26"/>
        </w:rPr>
        <w:t xml:space="preserve">троительство и реконструкция объектов ведется вблизи оборудования, находящегося под напряжением. Определение порядка монтажа оборудования с минимальным перерывом электроснабжения.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6.2. Подрядная организация получает все необходимые согласования и заключения с заинтересованными лицами и организациями: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- ордер на земляные работы;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- получение разрешения на строительство объекта, направление извещения в орган государственного строительного надзора о начале осуществления строительства объекта капитального строительства;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- выполнение технической инвентаризации, изготовление технического паспорта объекта завершенного строительством, получение технического паспорта;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- подача извещения в орган государственного строительного надзора об окончании строительства;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- получение в органах государственного строительного надзора </w:t>
      </w:r>
      <w:r>
        <w:rPr>
          <w:sz w:val="26"/>
          <w:szCs w:val="26"/>
        </w:rPr>
        <w:t xml:space="preserve">заключения</w:t>
      </w:r>
      <w:r>
        <w:rPr>
          <w:sz w:val="26"/>
          <w:szCs w:val="26"/>
        </w:rPr>
        <w:t xml:space="preserve"> о соответствии построенного, реконструированного, отремонтированного объекта капитального строительства требованиям техническим регламентов (норм и правил), иных нормативных правовых актов и проектной документации;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- получение разрешения на ввод объекта в эксплуатацию, выполнить постановку на государственный учет объекта недвижимости, получить кадастровый паспорт объекта, регистрация права собственности на объект недвижимости;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- установить охранные зоны.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6.3. Места базирования, проживания персонала, хранения, складирования материалов, оборудования, машин и механизмов, применяемых при выполнении работ по договору согласовывать с заказчиком.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6.4. При энергопотреблении от сетей заказчика согласовать точки подключения и механизм расчета за электрическую энергию с заказчиком.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6.5. Изменения в проекты вносить по согласованию с заказчиком и проектной организацией.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6.6. Работы по </w:t>
      </w:r>
      <w:r>
        <w:rPr>
          <w:sz w:val="26"/>
          <w:szCs w:val="26"/>
        </w:rPr>
        <w:t xml:space="preserve">техническому перевооружению, </w:t>
      </w:r>
      <w:r>
        <w:rPr>
          <w:sz w:val="26"/>
          <w:szCs w:val="26"/>
        </w:rPr>
        <w:t xml:space="preserve">строительству и реконструкции выполнять по технологическим картам, проектам производства работ, проекту организации строительства и утвержденной ПСД.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b/>
          <w:sz w:val="26"/>
          <w:szCs w:val="26"/>
        </w:rPr>
        <w:t xml:space="preserve">7.Требования к подрядной организации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7.</w:t>
      </w:r>
      <w:r>
        <w:rPr>
          <w:sz w:val="26"/>
          <w:szCs w:val="26"/>
        </w:rPr>
        <w:t xml:space="preserve">1.Наличие свидетельства о допуске к указанному в техническом задании виду или видам работ, которые оказывают влияние на безопасность объектов капитального строительства, выданное саморегулируемой организацией в соответствии с действующим законодательством.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right="-142"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  <w:highlight w:val="none"/>
        </w:rPr>
        <w:t xml:space="preserve">7.2. </w:t>
      </w:r>
      <w:r>
        <w:rPr>
          <w:sz w:val="26"/>
          <w:szCs w:val="26"/>
        </w:rPr>
        <w:t xml:space="preserve">В рамках реализации концепции "Цифровая трансформация 2030" ПАО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", одним из принципов которой является консолидация данных о со</w:t>
      </w:r>
      <w:r>
        <w:rPr>
          <w:sz w:val="26"/>
          <w:szCs w:val="26"/>
        </w:rPr>
        <w:t xml:space="preserve">стоянии электрических сетей и сквозная передача данных в технологические и корпоративные информационные системы и обратно на базе CIM-модели, при выполнении проектных работ подрядной организацией должен быть привлечен аттестованный специалист SCADA-систем.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42" w:firstLine="709"/>
        <w:jc w:val="both"/>
        <w:widowControl w:val="off"/>
        <w:rPr>
          <w:sz w:val="26"/>
          <w:szCs w:val="26"/>
          <w:highlight w:val="none"/>
        </w:rPr>
      </w:pPr>
      <w:r>
        <w:rPr>
          <w:sz w:val="26"/>
          <w:szCs w:val="26"/>
        </w:rPr>
      </w:r>
      <w:r>
        <w:rPr>
          <w:sz w:val="26"/>
          <w:szCs w:val="26"/>
          <w:highlight w:val="none"/>
        </w:rPr>
        <w:t xml:space="preserve">7.3. Наличие</w:t>
      </w:r>
      <w:r>
        <w:rPr>
          <w:sz w:val="26"/>
          <w:szCs w:val="26"/>
          <w:highlight w:val="none"/>
        </w:rPr>
        <w:t xml:space="preserve"> необходимых собственных кадровых или привлеченных кадровых ресурсов, </w:t>
      </w:r>
      <w:r>
        <w:rPr>
          <w:sz w:val="26"/>
          <w:szCs w:val="26"/>
          <w:highlight w:val="none"/>
        </w:rPr>
        <w:t xml:space="preserve">обладающих требуемыми профессиональными знаниями и навыками сотрудников</w:t>
      </w:r>
      <w:r>
        <w:rPr>
          <w:sz w:val="26"/>
          <w:szCs w:val="26"/>
          <w:highlight w:val="none"/>
        </w:rPr>
        <w:t xml:space="preserve">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right="-142" w:firstLine="709"/>
        <w:jc w:val="both"/>
        <w:widowControl w:val="off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  <w:t xml:space="preserve">7.4.</w:t>
      </w:r>
      <w:r>
        <w:rPr>
          <w:sz w:val="26"/>
          <w:szCs w:val="26"/>
          <w:highlight w:val="none"/>
        </w:rPr>
        <w:t xml:space="preserve"> Наличие</w:t>
      </w:r>
      <w:r>
        <w:rPr>
          <w:sz w:val="26"/>
          <w:szCs w:val="26"/>
          <w:highlight w:val="none"/>
        </w:rPr>
        <w:t xml:space="preserve"> необходимых собственных</w:t>
      </w:r>
      <w:r>
        <w:rPr>
          <w:sz w:val="26"/>
          <w:szCs w:val="26"/>
        </w:rPr>
        <w:t xml:space="preserve"> материально-технических</w:t>
      </w:r>
      <w:r>
        <w:rPr>
          <w:sz w:val="26"/>
          <w:szCs w:val="26"/>
          <w:highlight w:val="none"/>
        </w:rPr>
        <w:t xml:space="preserve"> или привлеченных материально-технических ресурсов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right="-142" w:firstLine="709"/>
        <w:jc w:val="both"/>
        <w:widowControl w:val="off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7</w:t>
      </w:r>
      <w:r>
        <w:rPr>
          <w:sz w:val="26"/>
          <w:szCs w:val="26"/>
          <w:highlight w:val="none"/>
        </w:rPr>
        <w:t xml:space="preserve">.5. </w:t>
      </w:r>
      <w:r>
        <w:rPr>
          <w:sz w:val="26"/>
          <w:szCs w:val="26"/>
          <w:highlight w:val="none"/>
        </w:rPr>
        <w:t xml:space="preserve">Наличие у организации опыта выполнения аналогичных предмету закупки работ.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rPr>
          <w:sz w:val="26"/>
          <w:szCs w:val="26"/>
        </w:rPr>
      </w:pPr>
      <w:r>
        <w:rPr>
          <w:b/>
          <w:sz w:val="26"/>
          <w:szCs w:val="26"/>
        </w:rPr>
        <w:t xml:space="preserve">8</w:t>
      </w:r>
      <w:r>
        <w:rPr>
          <w:b/>
          <w:bCs/>
          <w:sz w:val="26"/>
          <w:szCs w:val="26"/>
        </w:rPr>
        <w:t xml:space="preserve">. Исходные данные для разработки проекта.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Перечень исходных данных, сроки подготовки и передачи их Заказчиком проектной организации определяются договором на разработку проекта,  рекомендациями СНиП 11-01-95 и постановлением Правительства № 87 от 16.02.2008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Next/>
        <w:spacing w:line="230" w:lineRule="auto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>
        <w:rPr>
          <w:sz w:val="26"/>
          <w:szCs w:val="26"/>
        </w:rPr>
        <w:t xml:space="preserve">управления инвестиций 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Next/>
        <w:spacing w:line="230" w:lineRule="auto"/>
        <w:rPr>
          <w:sz w:val="26"/>
          <w:szCs w:val="26"/>
        </w:rPr>
      </w:pPr>
      <w:r>
        <w:rPr>
          <w:sz w:val="26"/>
          <w:szCs w:val="26"/>
        </w:rPr>
        <w:t xml:space="preserve">капитального строительства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 xml:space="preserve">Д.В. </w:t>
      </w:r>
      <w:r>
        <w:rPr>
          <w:sz w:val="26"/>
          <w:szCs w:val="26"/>
        </w:rPr>
        <w:t xml:space="preserve">Шатохин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Next/>
        <w:spacing w:line="23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1907" w:h="16840" w:orient="portrait"/>
      <w:pgMar w:top="719" w:right="567" w:bottom="530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">
    <w:panose1 w:val="020F0502020204030204"/>
  </w:font>
  <w:font w:name="Pragmatica">
    <w:panose1 w:val="02000603000000000000"/>
  </w:font>
  <w:font w:name="Courier New">
    <w:panose1 w:val="02070309020205020404"/>
  </w:font>
  <w:font w:name="Arial CYR">
    <w:panose1 w:val="020B060402020202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MS Mincho">
    <w:panose1 w:val="0202050305040509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tab"/>
      <w:lvlText w:val="4.5.7.4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/>
      <w:suff w:val="tab"/>
      <w:lvlText w:val="4.5.7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tab"/>
      <w:lvlText w:val="4.4.4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none"/>
      <w:isLgl/>
      <w:suff w:val="tab"/>
      <w:lvlText w:val="4.5.7.1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none"/>
      <w:isLgl w:val="false"/>
      <w:suff w:val="tab"/>
      <w:lvlText w:val="4.4.5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none"/>
      <w:isLgl w:val="false"/>
      <w:suff w:val="tab"/>
      <w:lvlText w:val="4.4.2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07" w:hanging="360"/>
        <w:tabs>
          <w:tab w:val="num" w:pos="90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27" w:hanging="360"/>
        <w:tabs>
          <w:tab w:val="num" w:pos="162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47" w:hanging="360"/>
        <w:tabs>
          <w:tab w:val="num" w:pos="234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67" w:hanging="360"/>
        <w:tabs>
          <w:tab w:val="num" w:pos="306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7" w:hanging="360"/>
        <w:tabs>
          <w:tab w:val="num" w:pos="378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7" w:hanging="360"/>
        <w:tabs>
          <w:tab w:val="num" w:pos="450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7" w:hanging="360"/>
        <w:tabs>
          <w:tab w:val="num" w:pos="522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7" w:hanging="360"/>
        <w:tabs>
          <w:tab w:val="num" w:pos="594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7" w:hanging="360"/>
        <w:tabs>
          <w:tab w:val="num" w:pos="6667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4.1.%1."/>
      <w:lvlJc w:val="left"/>
      <w:pPr>
        <w:ind w:left="1267" w:hanging="360"/>
        <w:tabs>
          <w:tab w:val="num" w:pos="12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firstLine="567"/>
        <w:tabs>
          <w:tab w:val="num" w:pos="927" w:leader="none"/>
        </w:tabs>
      </w:pPr>
    </w:lvl>
    <w:lvl w:ilvl="1">
      <w:start w:val="1"/>
      <w:numFmt w:val="decimal"/>
      <w:isLgl w:val="false"/>
      <w:suff w:val="tab"/>
      <w:lvlText w:val="2.%2"/>
      <w:lvlJc w:val="left"/>
      <w:pPr>
        <w:ind w:firstLine="567"/>
        <w:tabs>
          <w:tab w:val="num" w:pos="92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07" w:hanging="360"/>
        <w:tabs>
          <w:tab w:val="num" w:pos="90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27" w:hanging="360"/>
        <w:tabs>
          <w:tab w:val="num" w:pos="162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47" w:hanging="360"/>
        <w:tabs>
          <w:tab w:val="num" w:pos="234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67" w:hanging="360"/>
        <w:tabs>
          <w:tab w:val="num" w:pos="306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7" w:hanging="360"/>
        <w:tabs>
          <w:tab w:val="num" w:pos="378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7" w:hanging="360"/>
        <w:tabs>
          <w:tab w:val="num" w:pos="450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7" w:hanging="360"/>
        <w:tabs>
          <w:tab w:val="num" w:pos="522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7" w:hanging="360"/>
        <w:tabs>
          <w:tab w:val="num" w:pos="594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7" w:hanging="360"/>
        <w:tabs>
          <w:tab w:val="num" w:pos="6667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7" w:hanging="360"/>
        <w:tabs>
          <w:tab w:val="num" w:pos="54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67" w:hanging="360"/>
        <w:tabs>
          <w:tab w:val="num" w:pos="126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7" w:hanging="180"/>
        <w:tabs>
          <w:tab w:val="num" w:pos="198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7" w:hanging="360"/>
        <w:tabs>
          <w:tab w:val="num" w:pos="270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7" w:hanging="360"/>
        <w:tabs>
          <w:tab w:val="num" w:pos="342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7" w:hanging="180"/>
        <w:tabs>
          <w:tab w:val="num" w:pos="414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7" w:hanging="360"/>
        <w:tabs>
          <w:tab w:val="num" w:pos="486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7" w:hanging="360"/>
        <w:tabs>
          <w:tab w:val="num" w:pos="558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7" w:hanging="180"/>
        <w:tabs>
          <w:tab w:val="num" w:pos="6307" w:leader="none"/>
        </w:tabs>
      </w:pPr>
    </w:lvl>
  </w:abstractNum>
  <w:abstractNum w:abstractNumId="15">
    <w:multiLevelType w:val="hybridMultilevel"/>
    <w:lvl w:ilvl="0">
      <w:start w:val="6"/>
      <w:numFmt w:val="none"/>
      <w:isLgl w:val="false"/>
      <w:suff w:val="tab"/>
      <w:lvlText w:val="4.5"/>
      <w:lvlJc w:val="left"/>
      <w:pPr>
        <w:ind w:left="525" w:hanging="525"/>
        <w:tabs>
          <w:tab w:val="num" w:pos="525" w:leader="none"/>
        </w:tabs>
      </w:pPr>
      <w:rPr>
        <w:rFonts w:hint="default" w:ascii="Pragmatica" w:hAnsi="Pragmatica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795" w:hanging="525"/>
        <w:tabs>
          <w:tab w:val="num" w:pos="795" w:leader="none"/>
        </w:tabs>
      </w:pPr>
      <w:rPr>
        <w:rFonts w:hint="default" w:ascii="Pragmatica" w:hAnsi="Pragmatica"/>
        <w:b w:val="0"/>
      </w:rPr>
    </w:lvl>
    <w:lvl w:ilvl="2">
      <w:start w:val="1"/>
      <w:numFmt w:val="decimal"/>
      <w:isLgl w:val="false"/>
      <w:suff w:val="tab"/>
      <w:lvlText w:val="7.%2.%3"/>
      <w:lvlJc w:val="left"/>
      <w:pPr>
        <w:ind w:left="1260" w:hanging="720"/>
        <w:tabs>
          <w:tab w:val="num" w:pos="1260" w:leader="none"/>
        </w:tabs>
      </w:pPr>
      <w:rPr>
        <w:rFonts w:hint="default" w:ascii="Times New Roman" w:hAnsi="Times New Roman" w:cs="Times New Roman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530" w:hanging="720"/>
        <w:tabs>
          <w:tab w:val="num" w:pos="1530" w:leader="none"/>
        </w:tabs>
      </w:pPr>
      <w:rPr>
        <w:rFonts w:hint="default" w:ascii="Pragmatica" w:hAnsi="Pragmatica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160" w:hanging="1080"/>
        <w:tabs>
          <w:tab w:val="num" w:pos="2160" w:leader="none"/>
        </w:tabs>
      </w:pPr>
      <w:rPr>
        <w:rFonts w:hint="default" w:ascii="Pragmatica" w:hAnsi="Pragmatica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430" w:hanging="1080"/>
        <w:tabs>
          <w:tab w:val="num" w:pos="2430" w:leader="none"/>
        </w:tabs>
      </w:pPr>
      <w:rPr>
        <w:rFonts w:hint="default" w:ascii="Pragmatica" w:hAnsi="Pragmatica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060" w:hanging="1440"/>
        <w:tabs>
          <w:tab w:val="num" w:pos="3060" w:leader="none"/>
        </w:tabs>
      </w:pPr>
      <w:rPr>
        <w:rFonts w:hint="default" w:ascii="Pragmatica" w:hAnsi="Pragmatica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330" w:hanging="1440"/>
        <w:tabs>
          <w:tab w:val="num" w:pos="3330" w:leader="none"/>
        </w:tabs>
      </w:pPr>
      <w:rPr>
        <w:rFonts w:hint="default" w:ascii="Pragmatica" w:hAnsi="Pragmatica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960" w:hanging="1800"/>
        <w:tabs>
          <w:tab w:val="num" w:pos="3960" w:leader="none"/>
        </w:tabs>
      </w:pPr>
      <w:rPr>
        <w:rFonts w:hint="default" w:ascii="Pragmatica" w:hAnsi="Pragmatica"/>
        <w:b w:val="0"/>
      </w:rPr>
    </w:lvl>
  </w:abstractNum>
  <w:abstractNum w:abstractNumId="16">
    <w:multiLevelType w:val="hybridMultilevel"/>
    <w:lvl w:ilvl="0">
      <w:start w:val="1"/>
      <w:numFmt w:val="none"/>
      <w:isLgl w:val="false"/>
      <w:suff w:val="tab"/>
      <w:lvlText w:val="4.4.3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none"/>
      <w:isLgl w:val="false"/>
      <w:suff w:val="tab"/>
      <w:lvlText w:val="4.5.7.2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11"/>
      <w:numFmt w:val="decimal"/>
      <w:isLgl w:val="false"/>
      <w:suff w:val="tab"/>
      <w:lvlText w:val="%1.%2.7.5"/>
      <w:lvlJc w:val="left"/>
      <w:pPr>
        <w:ind w:left="1440" w:hanging="720"/>
        <w:tabs>
          <w:tab w:val="num" w:pos="1440" w:leader="none"/>
        </w:tabs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none"/>
      <w:isLgl w:val="false"/>
      <w:suff w:val="tab"/>
      <w:lvlText w:val="4.4.6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sz w:val="22"/>
        <w:szCs w:val="22"/>
      </w:rPr>
    </w:lvl>
    <w:lvl w:ilvl="1">
      <w:start w:val="1"/>
      <w:numFmt w:val="decimal"/>
      <w:isLgl w:val="false"/>
      <w:suff w:val="tab"/>
      <w:lvlText w:val="1.%2"/>
      <w:lvlJc w:val="left"/>
      <w:pPr>
        <w:ind w:left="1134" w:hanging="1134"/>
        <w:tabs>
          <w:tab w:val="num" w:pos="1134" w:leader="none"/>
        </w:tabs>
      </w:pPr>
      <w:rPr>
        <w:color w:val="ff0000"/>
      </w:rPr>
    </w:lvl>
    <w:lvl w:ilvl="2">
      <w:start w:val="1"/>
      <w:numFmt w:val="decimal"/>
      <w:isLgl w:val="false"/>
      <w:suff w:val="tab"/>
      <w:lvlText w:val="1.%2.%3"/>
      <w:lvlJc w:val="left"/>
      <w:pPr>
        <w:ind w:left="1134" w:hanging="1134"/>
        <w:tabs>
          <w:tab w:val="num" w:pos="1134" w:leader="none"/>
        </w:tabs>
      </w:pPr>
      <w:rPr>
        <w:b w:val="0"/>
        <w:bCs w:val="0"/>
        <w:i w:val="0"/>
        <w:iCs w:val="0"/>
        <w:color w:val="ff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bCs w:val="0"/>
        <w:i w:val="0"/>
        <w:iCs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  <w:tabs>
          <w:tab w:val="num" w:pos="142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  <w:tabs>
          <w:tab w:val="num" w:pos="2136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  <w:tabs>
          <w:tab w:val="num" w:pos="320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  <w:tabs>
          <w:tab w:val="num" w:pos="3912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  <w:tabs>
          <w:tab w:val="num" w:pos="49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  <w:tabs>
          <w:tab w:val="num" w:pos="604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  <w:tabs>
          <w:tab w:val="num" w:pos="675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  <w:tabs>
          <w:tab w:val="num" w:pos="7824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3" w:hanging="360"/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9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1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3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5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7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9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1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33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559" w:hanging="453"/>
        <w:tabs>
          <w:tab w:val="num" w:pos="1559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4" w:hanging="870"/>
        <w:tabs>
          <w:tab w:val="num" w:pos="1494" w:leader="none"/>
        </w:tabs>
      </w:pPr>
      <w:rPr>
        <w:rFonts w:hint="default" w:ascii="Symbol" w:hAnsi="Symbol" w:cs="Symbol"/>
        <w:sz w:val="20"/>
        <w:szCs w:val="20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 w:cs="Symbol"/>
        <w:sz w:val="20"/>
        <w:szCs w:val="20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1536"/>
        <w:tabs>
          <w:tab w:val="num" w:pos="2160" w:leader="none"/>
        </w:tabs>
      </w:pPr>
      <w:rPr>
        <w:rFonts w:hint="default"/>
        <w:sz w:val="28"/>
        <w:szCs w:val="28"/>
      </w:rPr>
    </w:lvl>
    <w:lvl w:ilvl="3">
      <w:start w:val="5"/>
      <w:numFmt w:val="decimal"/>
      <w:isLgl w:val="false"/>
      <w:suff w:val="tab"/>
      <w:lvlText w:val="%4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pStyle w:val="893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pStyle w:val="894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pStyle w:val="895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pStyle w:val="896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pStyle w:val="897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none"/>
      <w:isLgl w:val="false"/>
      <w:suff w:val="tab"/>
      <w:lvlText w:val="4.5.7.3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none"/>
      <w:isLgl w:val="false"/>
      <w:suff w:val="tab"/>
      <w:lvlText w:val="4.4.1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75" w:hanging="360"/>
        <w:tabs>
          <w:tab w:val="num" w:pos="775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95" w:hanging="360"/>
        <w:tabs>
          <w:tab w:val="num" w:pos="1495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15" w:hanging="360"/>
        <w:tabs>
          <w:tab w:val="num" w:pos="2215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35" w:hanging="360"/>
        <w:tabs>
          <w:tab w:val="num" w:pos="2935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55" w:hanging="360"/>
        <w:tabs>
          <w:tab w:val="num" w:pos="3655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75" w:hanging="360"/>
        <w:tabs>
          <w:tab w:val="num" w:pos="4375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95" w:hanging="360"/>
        <w:tabs>
          <w:tab w:val="num" w:pos="5095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15" w:hanging="360"/>
        <w:tabs>
          <w:tab w:val="num" w:pos="5815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35" w:hanging="360"/>
        <w:tabs>
          <w:tab w:val="num" w:pos="6535" w:leader="none"/>
        </w:tabs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7" w:hanging="360"/>
        <w:tabs>
          <w:tab w:val="num" w:pos="54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67" w:hanging="360"/>
        <w:tabs>
          <w:tab w:val="num" w:pos="126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7" w:hanging="180"/>
        <w:tabs>
          <w:tab w:val="num" w:pos="198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7" w:hanging="360"/>
        <w:tabs>
          <w:tab w:val="num" w:pos="270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7" w:hanging="360"/>
        <w:tabs>
          <w:tab w:val="num" w:pos="342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7" w:hanging="180"/>
        <w:tabs>
          <w:tab w:val="num" w:pos="414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7" w:hanging="360"/>
        <w:tabs>
          <w:tab w:val="num" w:pos="486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7" w:hanging="360"/>
        <w:tabs>
          <w:tab w:val="num" w:pos="558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7" w:hanging="180"/>
        <w:tabs>
          <w:tab w:val="num" w:pos="6307" w:leader="none"/>
        </w:tabs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1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3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5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7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9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1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3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55" w:hanging="360"/>
      </w:pPr>
      <w:rPr>
        <w:rFonts w:hint="default" w:ascii="Wingdings" w:hAnsi="Wingdings"/>
      </w:rPr>
    </w:lvl>
  </w:abstractNum>
  <w:num w:numId="1">
    <w:abstractNumId w:val="31"/>
  </w:num>
  <w:num w:numId="2">
    <w:abstractNumId w:val="24"/>
  </w:num>
  <w:num w:numId="3">
    <w:abstractNumId w:val="28"/>
  </w:num>
  <w:num w:numId="4">
    <w:abstractNumId w:val="29"/>
  </w:num>
  <w:num w:numId="5">
    <w:abstractNumId w:val="27"/>
  </w:num>
  <w:num w:numId="6">
    <w:abstractNumId w:val="23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6"/>
  </w:num>
  <w:num w:numId="10">
    <w:abstractNumId w:val="4"/>
  </w:num>
  <w:num w:numId="11">
    <w:abstractNumId w:val="21"/>
  </w:num>
  <w:num w:numId="12">
    <w:abstractNumId w:val="15"/>
  </w:num>
  <w:num w:numId="13">
    <w:abstractNumId w:val="9"/>
  </w:num>
  <w:num w:numId="14">
    <w:abstractNumId w:val="33"/>
  </w:num>
  <w:num w:numId="15">
    <w:abstractNumId w:val="8"/>
  </w:num>
  <w:num w:numId="16">
    <w:abstractNumId w:val="17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5"/>
  </w:num>
  <w:num w:numId="22">
    <w:abstractNumId w:val="2"/>
  </w:num>
  <w:num w:numId="23">
    <w:abstractNumId w:val="20"/>
  </w:num>
  <w:num w:numId="24">
    <w:abstractNumId w:val="30"/>
  </w:num>
  <w:num w:numId="25">
    <w:abstractNumId w:val="0"/>
  </w:num>
  <w:num w:numId="26">
    <w:abstractNumId w:val="6"/>
  </w:num>
  <w:num w:numId="27">
    <w:abstractNumId w:val="34"/>
  </w:num>
  <w:num w:numId="28">
    <w:abstractNumId w:val="12"/>
  </w:num>
  <w:num w:numId="29">
    <w:abstractNumId w:val="14"/>
  </w:num>
  <w:num w:numId="30">
    <w:abstractNumId w:val="7"/>
  </w:num>
  <w:num w:numId="31">
    <w:abstractNumId w:val="32"/>
  </w:num>
  <w:num w:numId="32">
    <w:abstractNumId w:val="35"/>
  </w:num>
  <w:num w:numId="33">
    <w:abstractNumId w:val="11"/>
  </w:num>
  <w:num w:numId="34">
    <w:abstractNumId w:val="26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6">
    <w:name w:val="Heading 1 Char"/>
    <w:basedOn w:val="898"/>
    <w:link w:val="889"/>
    <w:uiPriority w:val="9"/>
    <w:rPr>
      <w:rFonts w:ascii="Arial" w:hAnsi="Arial" w:eastAsia="Arial" w:cs="Arial"/>
      <w:sz w:val="40"/>
      <w:szCs w:val="40"/>
    </w:rPr>
  </w:style>
  <w:style w:type="character" w:styleId="727">
    <w:name w:val="Heading 2 Char"/>
    <w:basedOn w:val="898"/>
    <w:link w:val="890"/>
    <w:uiPriority w:val="9"/>
    <w:rPr>
      <w:rFonts w:ascii="Arial" w:hAnsi="Arial" w:eastAsia="Arial" w:cs="Arial"/>
      <w:sz w:val="34"/>
    </w:rPr>
  </w:style>
  <w:style w:type="character" w:styleId="728">
    <w:name w:val="Heading 3 Char"/>
    <w:basedOn w:val="898"/>
    <w:link w:val="891"/>
    <w:uiPriority w:val="9"/>
    <w:rPr>
      <w:rFonts w:ascii="Arial" w:hAnsi="Arial" w:eastAsia="Arial" w:cs="Arial"/>
      <w:sz w:val="30"/>
      <w:szCs w:val="30"/>
    </w:rPr>
  </w:style>
  <w:style w:type="character" w:styleId="729">
    <w:name w:val="Heading 4 Char"/>
    <w:basedOn w:val="898"/>
    <w:link w:val="892"/>
    <w:uiPriority w:val="9"/>
    <w:rPr>
      <w:rFonts w:ascii="Arial" w:hAnsi="Arial" w:eastAsia="Arial" w:cs="Arial"/>
      <w:b/>
      <w:bCs/>
      <w:sz w:val="26"/>
      <w:szCs w:val="26"/>
    </w:rPr>
  </w:style>
  <w:style w:type="character" w:styleId="730">
    <w:name w:val="Heading 5 Char"/>
    <w:basedOn w:val="898"/>
    <w:link w:val="893"/>
    <w:uiPriority w:val="9"/>
    <w:rPr>
      <w:rFonts w:ascii="Arial" w:hAnsi="Arial" w:eastAsia="Arial" w:cs="Arial"/>
      <w:b/>
      <w:bCs/>
      <w:sz w:val="24"/>
      <w:szCs w:val="24"/>
    </w:rPr>
  </w:style>
  <w:style w:type="character" w:styleId="731">
    <w:name w:val="Heading 6 Char"/>
    <w:basedOn w:val="898"/>
    <w:link w:val="894"/>
    <w:uiPriority w:val="9"/>
    <w:rPr>
      <w:rFonts w:ascii="Arial" w:hAnsi="Arial" w:eastAsia="Arial" w:cs="Arial"/>
      <w:b/>
      <w:bCs/>
      <w:sz w:val="22"/>
      <w:szCs w:val="22"/>
    </w:rPr>
  </w:style>
  <w:style w:type="character" w:styleId="732">
    <w:name w:val="Heading 7 Char"/>
    <w:basedOn w:val="898"/>
    <w:link w:val="8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8 Char"/>
    <w:basedOn w:val="898"/>
    <w:link w:val="896"/>
    <w:uiPriority w:val="9"/>
    <w:rPr>
      <w:rFonts w:ascii="Arial" w:hAnsi="Arial" w:eastAsia="Arial" w:cs="Arial"/>
      <w:i/>
      <w:iCs/>
      <w:sz w:val="22"/>
      <w:szCs w:val="22"/>
    </w:rPr>
  </w:style>
  <w:style w:type="character" w:styleId="734">
    <w:name w:val="Heading 9 Char"/>
    <w:basedOn w:val="898"/>
    <w:link w:val="897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List Paragraph"/>
    <w:basedOn w:val="888"/>
    <w:uiPriority w:val="34"/>
    <w:qFormat/>
    <w:pPr>
      <w:contextualSpacing/>
      <w:ind w:left="720"/>
    </w:pPr>
  </w:style>
  <w:style w:type="character" w:styleId="736">
    <w:name w:val="Title Char"/>
    <w:basedOn w:val="898"/>
    <w:link w:val="904"/>
    <w:uiPriority w:val="10"/>
    <w:rPr>
      <w:sz w:val="48"/>
      <w:szCs w:val="48"/>
    </w:rPr>
  </w:style>
  <w:style w:type="paragraph" w:styleId="737">
    <w:name w:val="Subtitle"/>
    <w:basedOn w:val="888"/>
    <w:next w:val="888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>
    <w:name w:val="Subtitle Char"/>
    <w:basedOn w:val="898"/>
    <w:link w:val="737"/>
    <w:uiPriority w:val="11"/>
    <w:rPr>
      <w:sz w:val="24"/>
      <w:szCs w:val="24"/>
    </w:rPr>
  </w:style>
  <w:style w:type="paragraph" w:styleId="739">
    <w:name w:val="Quote"/>
    <w:basedOn w:val="888"/>
    <w:next w:val="888"/>
    <w:link w:val="740"/>
    <w:uiPriority w:val="29"/>
    <w:qFormat/>
    <w:pPr>
      <w:ind w:left="720" w:right="720"/>
    </w:pPr>
    <w:rPr>
      <w:i/>
    </w:rPr>
  </w:style>
  <w:style w:type="character" w:styleId="740">
    <w:name w:val="Quote Char"/>
    <w:link w:val="739"/>
    <w:uiPriority w:val="29"/>
    <w:rPr>
      <w:i/>
    </w:rPr>
  </w:style>
  <w:style w:type="paragraph" w:styleId="741">
    <w:name w:val="Intense Quote"/>
    <w:basedOn w:val="888"/>
    <w:next w:val="888"/>
    <w:link w:val="7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>
    <w:name w:val="Intense Quote Char"/>
    <w:link w:val="741"/>
    <w:uiPriority w:val="30"/>
    <w:rPr>
      <w:i/>
    </w:rPr>
  </w:style>
  <w:style w:type="character" w:styleId="743">
    <w:name w:val="Header Char"/>
    <w:basedOn w:val="898"/>
    <w:link w:val="905"/>
    <w:uiPriority w:val="99"/>
  </w:style>
  <w:style w:type="character" w:styleId="744">
    <w:name w:val="Footer Char"/>
    <w:basedOn w:val="898"/>
    <w:link w:val="907"/>
    <w:uiPriority w:val="99"/>
  </w:style>
  <w:style w:type="character" w:styleId="745">
    <w:name w:val="Caption Char"/>
    <w:basedOn w:val="931"/>
    <w:link w:val="907"/>
    <w:uiPriority w:val="99"/>
  </w:style>
  <w:style w:type="table" w:styleId="746">
    <w:name w:val="Table Grid Light"/>
    <w:basedOn w:val="8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Plain Table 1"/>
    <w:basedOn w:val="8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2"/>
    <w:basedOn w:val="8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>
    <w:name w:val="Plain Table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Plain Table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2">
    <w:name w:val="Grid Table 1 Light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4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4">
    <w:name w:val="Grid Table 4 - Accent 1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5">
    <w:name w:val="Grid Table 4 - Accent 2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Grid Table 4 - Accent 3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7">
    <w:name w:val="Grid Table 4 - Accent 4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Grid Table 4 - Accent 5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9">
    <w:name w:val="Grid Table 4 - Accent 6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0">
    <w:name w:val="Grid Table 5 Dark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1">
    <w:name w:val="Grid Table 5 Dark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4">
    <w:name w:val="Grid Table 5 Dark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7">
    <w:name w:val="Grid Table 6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8">
    <w:name w:val="Grid Table 6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9">
    <w:name w:val="Grid Table 6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0">
    <w:name w:val="Grid Table 6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1">
    <w:name w:val="Grid Table 6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2">
    <w:name w:val="Grid Table 6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3">
    <w:name w:val="Grid Table 6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7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9">
    <w:name w:val="List Table 2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0">
    <w:name w:val="List Table 2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1">
    <w:name w:val="List Table 2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2">
    <w:name w:val="List Table 2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3">
    <w:name w:val="List Table 2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4">
    <w:name w:val="List Table 2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5">
    <w:name w:val="List Table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6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7">
    <w:name w:val="List Table 6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8">
    <w:name w:val="List Table 6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9">
    <w:name w:val="List Table 6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0">
    <w:name w:val="List Table 6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1">
    <w:name w:val="List Table 6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2">
    <w:name w:val="List Table 6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3">
    <w:name w:val="List Table 7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4">
    <w:name w:val="List Table 7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5">
    <w:name w:val="List Table 7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6">
    <w:name w:val="List Table 7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7">
    <w:name w:val="List Table 7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8">
    <w:name w:val="List Table 7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9">
    <w:name w:val="List Table 7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0">
    <w:name w:val="Lined - Accent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Lined - Accent 1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2">
    <w:name w:val="Lined - Accent 2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3">
    <w:name w:val="Lined - Accent 3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4">
    <w:name w:val="Lined - Accent 4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5">
    <w:name w:val="Lined - Accent 5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6">
    <w:name w:val="Lined - Accent 6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7">
    <w:name w:val="Bordered &amp; Lined - Accent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8">
    <w:name w:val="Bordered &amp; Lined - Accent 1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9">
    <w:name w:val="Bordered &amp; Lined - Accent 2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0">
    <w:name w:val="Bordered &amp; Lined - Accent 3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1">
    <w:name w:val="Bordered &amp; Lined - Accent 4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2">
    <w:name w:val="Bordered &amp; Lined - Accent 5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3">
    <w:name w:val="Bordered &amp; Lined - Accent 6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4">
    <w:name w:val="Bordered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5">
    <w:name w:val="Bordered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6">
    <w:name w:val="Bordered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7">
    <w:name w:val="Bordered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8">
    <w:name w:val="Bordered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9">
    <w:name w:val="Bordered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0">
    <w:name w:val="Bordered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1">
    <w:name w:val="Hyperlink"/>
    <w:uiPriority w:val="99"/>
    <w:unhideWhenUsed/>
    <w:rPr>
      <w:color w:val="0000ff" w:themeColor="hyperlink"/>
      <w:u w:val="single"/>
    </w:rPr>
  </w:style>
  <w:style w:type="character" w:styleId="872">
    <w:name w:val="Footnote Text Char"/>
    <w:link w:val="936"/>
    <w:uiPriority w:val="99"/>
    <w:rPr>
      <w:sz w:val="18"/>
    </w:rPr>
  </w:style>
  <w:style w:type="character" w:styleId="873">
    <w:name w:val="footnote reference"/>
    <w:basedOn w:val="898"/>
    <w:uiPriority w:val="99"/>
    <w:unhideWhenUsed/>
    <w:rPr>
      <w:vertAlign w:val="superscript"/>
    </w:rPr>
  </w:style>
  <w:style w:type="paragraph" w:styleId="874">
    <w:name w:val="endnote text"/>
    <w:basedOn w:val="888"/>
    <w:link w:val="875"/>
    <w:uiPriority w:val="99"/>
    <w:semiHidden/>
    <w:unhideWhenUsed/>
    <w:pPr>
      <w:spacing w:after="0" w:line="240" w:lineRule="auto"/>
    </w:pPr>
    <w:rPr>
      <w:sz w:val="20"/>
    </w:rPr>
  </w:style>
  <w:style w:type="character" w:styleId="875">
    <w:name w:val="Endnote Text Char"/>
    <w:link w:val="874"/>
    <w:uiPriority w:val="99"/>
    <w:rPr>
      <w:sz w:val="20"/>
    </w:rPr>
  </w:style>
  <w:style w:type="character" w:styleId="876">
    <w:name w:val="endnote reference"/>
    <w:basedOn w:val="898"/>
    <w:uiPriority w:val="99"/>
    <w:semiHidden/>
    <w:unhideWhenUsed/>
    <w:rPr>
      <w:vertAlign w:val="superscript"/>
    </w:rPr>
  </w:style>
  <w:style w:type="paragraph" w:styleId="877">
    <w:name w:val="toc 1"/>
    <w:basedOn w:val="888"/>
    <w:next w:val="888"/>
    <w:uiPriority w:val="39"/>
    <w:unhideWhenUsed/>
    <w:pPr>
      <w:ind w:left="0" w:right="0" w:firstLine="0"/>
      <w:spacing w:after="57"/>
    </w:pPr>
  </w:style>
  <w:style w:type="paragraph" w:styleId="878">
    <w:name w:val="toc 2"/>
    <w:basedOn w:val="888"/>
    <w:next w:val="888"/>
    <w:uiPriority w:val="39"/>
    <w:unhideWhenUsed/>
    <w:pPr>
      <w:ind w:left="283" w:right="0" w:firstLine="0"/>
      <w:spacing w:after="57"/>
    </w:pPr>
  </w:style>
  <w:style w:type="paragraph" w:styleId="879">
    <w:name w:val="toc 3"/>
    <w:basedOn w:val="888"/>
    <w:next w:val="888"/>
    <w:uiPriority w:val="39"/>
    <w:unhideWhenUsed/>
    <w:pPr>
      <w:ind w:left="567" w:right="0" w:firstLine="0"/>
      <w:spacing w:after="57"/>
    </w:pPr>
  </w:style>
  <w:style w:type="paragraph" w:styleId="880">
    <w:name w:val="toc 4"/>
    <w:basedOn w:val="888"/>
    <w:next w:val="888"/>
    <w:uiPriority w:val="39"/>
    <w:unhideWhenUsed/>
    <w:pPr>
      <w:ind w:left="850" w:right="0" w:firstLine="0"/>
      <w:spacing w:after="57"/>
    </w:pPr>
  </w:style>
  <w:style w:type="paragraph" w:styleId="881">
    <w:name w:val="toc 5"/>
    <w:basedOn w:val="888"/>
    <w:next w:val="888"/>
    <w:uiPriority w:val="39"/>
    <w:unhideWhenUsed/>
    <w:pPr>
      <w:ind w:left="1134" w:right="0" w:firstLine="0"/>
      <w:spacing w:after="57"/>
    </w:pPr>
  </w:style>
  <w:style w:type="paragraph" w:styleId="882">
    <w:name w:val="toc 6"/>
    <w:basedOn w:val="888"/>
    <w:next w:val="888"/>
    <w:uiPriority w:val="39"/>
    <w:unhideWhenUsed/>
    <w:pPr>
      <w:ind w:left="1417" w:right="0" w:firstLine="0"/>
      <w:spacing w:after="57"/>
    </w:pPr>
  </w:style>
  <w:style w:type="paragraph" w:styleId="883">
    <w:name w:val="toc 7"/>
    <w:basedOn w:val="888"/>
    <w:next w:val="888"/>
    <w:uiPriority w:val="39"/>
    <w:unhideWhenUsed/>
    <w:pPr>
      <w:ind w:left="1701" w:right="0" w:firstLine="0"/>
      <w:spacing w:after="57"/>
    </w:pPr>
  </w:style>
  <w:style w:type="paragraph" w:styleId="884">
    <w:name w:val="toc 8"/>
    <w:basedOn w:val="888"/>
    <w:next w:val="888"/>
    <w:uiPriority w:val="39"/>
    <w:unhideWhenUsed/>
    <w:pPr>
      <w:ind w:left="1984" w:right="0" w:firstLine="0"/>
      <w:spacing w:after="57"/>
    </w:pPr>
  </w:style>
  <w:style w:type="paragraph" w:styleId="885">
    <w:name w:val="toc 9"/>
    <w:basedOn w:val="888"/>
    <w:next w:val="888"/>
    <w:uiPriority w:val="39"/>
    <w:unhideWhenUsed/>
    <w:pPr>
      <w:ind w:left="2268" w:right="0" w:firstLine="0"/>
      <w:spacing w:after="57"/>
    </w:pPr>
  </w:style>
  <w:style w:type="paragraph" w:styleId="886">
    <w:name w:val="TOC Heading"/>
    <w:uiPriority w:val="39"/>
    <w:unhideWhenUsed/>
  </w:style>
  <w:style w:type="paragraph" w:styleId="887">
    <w:name w:val="table of figures"/>
    <w:basedOn w:val="888"/>
    <w:next w:val="888"/>
    <w:uiPriority w:val="99"/>
    <w:unhideWhenUsed/>
    <w:pPr>
      <w:spacing w:after="0" w:afterAutospacing="0"/>
    </w:pPr>
  </w:style>
  <w:style w:type="paragraph" w:styleId="888" w:default="1">
    <w:name w:val="Normal"/>
    <w:qFormat/>
    <w:rPr>
      <w:sz w:val="24"/>
      <w:szCs w:val="24"/>
    </w:rPr>
  </w:style>
  <w:style w:type="paragraph" w:styleId="889">
    <w:name w:val="Heading 1"/>
    <w:basedOn w:val="888"/>
    <w:next w:val="888"/>
    <w:qFormat/>
    <w:pPr>
      <w:keepNext/>
      <w:outlineLvl w:val="0"/>
    </w:pPr>
    <w:rPr>
      <w:sz w:val="28"/>
      <w:szCs w:val="28"/>
    </w:rPr>
  </w:style>
  <w:style w:type="paragraph" w:styleId="890">
    <w:name w:val="Heading 2"/>
    <w:basedOn w:val="888"/>
    <w:next w:val="888"/>
    <w:qFormat/>
    <w:pPr>
      <w:ind w:left="1134" w:hanging="1134"/>
      <w:keepNext/>
      <w:spacing w:before="360" w:after="120"/>
      <w:tabs>
        <w:tab w:val="num" w:pos="1134" w:leader="none"/>
      </w:tabs>
      <w:outlineLvl w:val="1"/>
    </w:pPr>
    <w:rPr>
      <w:b/>
      <w:bCs/>
      <w:sz w:val="32"/>
      <w:szCs w:val="32"/>
    </w:rPr>
  </w:style>
  <w:style w:type="paragraph" w:styleId="891">
    <w:name w:val="Heading 3"/>
    <w:basedOn w:val="888"/>
    <w:next w:val="888"/>
    <w:qFormat/>
    <w:pPr>
      <w:keepNext/>
      <w:spacing w:before="240" w:after="60"/>
      <w:widowControl w:val="off"/>
      <w:outlineLvl w:val="2"/>
    </w:pPr>
    <w:rPr>
      <w:rFonts w:ascii="Arial" w:hAnsi="Arial" w:eastAsia="MS Mincho" w:cs="Arial"/>
      <w:b/>
      <w:bCs/>
      <w:sz w:val="26"/>
      <w:szCs w:val="26"/>
      <w:lang w:eastAsia="ja-JP"/>
    </w:rPr>
  </w:style>
  <w:style w:type="paragraph" w:styleId="892">
    <w:name w:val="Heading 4"/>
    <w:basedOn w:val="888"/>
    <w:next w:val="888"/>
    <w:qFormat/>
    <w:pPr>
      <w:ind w:left="1701" w:hanging="1134"/>
      <w:jc w:val="both"/>
      <w:keepNext/>
      <w:spacing w:before="240" w:after="120"/>
      <w:tabs>
        <w:tab w:val="left" w:pos="1134" w:leader="none"/>
        <w:tab w:val="num" w:pos="1701" w:leader="none"/>
      </w:tabs>
      <w:outlineLvl w:val="3"/>
    </w:pPr>
    <w:rPr>
      <w:b/>
      <w:bCs/>
      <w:i/>
      <w:iCs/>
      <w:sz w:val="28"/>
      <w:szCs w:val="28"/>
    </w:rPr>
  </w:style>
  <w:style w:type="paragraph" w:styleId="893">
    <w:name w:val="Heading 5"/>
    <w:basedOn w:val="888"/>
    <w:next w:val="888"/>
    <w:qFormat/>
    <w:pPr>
      <w:numPr>
        <w:ilvl w:val="4"/>
        <w:numId w:val="4"/>
      </w:numPr>
      <w:ind w:left="0" w:firstLine="0"/>
      <w:jc w:val="both"/>
      <w:keepNext/>
      <w:spacing w:before="60" w:line="360" w:lineRule="auto"/>
      <w:tabs>
        <w:tab w:val="num" w:pos="360" w:leader="none"/>
        <w:tab w:val="clear" w:pos="1008" w:leader="none"/>
      </w:tabs>
      <w:outlineLvl w:val="4"/>
    </w:pPr>
    <w:rPr>
      <w:b/>
      <w:bCs/>
      <w:sz w:val="26"/>
      <w:szCs w:val="26"/>
    </w:rPr>
  </w:style>
  <w:style w:type="paragraph" w:styleId="894">
    <w:name w:val="Heading 6"/>
    <w:basedOn w:val="888"/>
    <w:next w:val="888"/>
    <w:qFormat/>
    <w:pPr>
      <w:numPr>
        <w:ilvl w:val="5"/>
        <w:numId w:val="4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152" w:leader="none"/>
      </w:tabs>
      <w:outlineLvl w:val="5"/>
    </w:pPr>
    <w:rPr>
      <w:b/>
      <w:bCs/>
      <w:sz w:val="22"/>
      <w:szCs w:val="22"/>
    </w:rPr>
  </w:style>
  <w:style w:type="paragraph" w:styleId="895">
    <w:name w:val="Heading 7"/>
    <w:basedOn w:val="888"/>
    <w:next w:val="888"/>
    <w:qFormat/>
    <w:pPr>
      <w:numPr>
        <w:ilvl w:val="6"/>
        <w:numId w:val="4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296" w:leader="none"/>
      </w:tabs>
      <w:outlineLvl w:val="6"/>
    </w:pPr>
    <w:rPr>
      <w:sz w:val="26"/>
      <w:szCs w:val="26"/>
    </w:rPr>
  </w:style>
  <w:style w:type="paragraph" w:styleId="896">
    <w:name w:val="Heading 8"/>
    <w:basedOn w:val="888"/>
    <w:next w:val="888"/>
    <w:qFormat/>
    <w:pPr>
      <w:numPr>
        <w:ilvl w:val="7"/>
        <w:numId w:val="4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440" w:leader="none"/>
      </w:tabs>
      <w:outlineLvl w:val="7"/>
    </w:pPr>
    <w:rPr>
      <w:i/>
      <w:iCs/>
      <w:sz w:val="26"/>
      <w:szCs w:val="26"/>
    </w:rPr>
  </w:style>
  <w:style w:type="paragraph" w:styleId="897">
    <w:name w:val="Heading 9"/>
    <w:basedOn w:val="888"/>
    <w:next w:val="888"/>
    <w:qFormat/>
    <w:pPr>
      <w:numPr>
        <w:ilvl w:val="8"/>
        <w:numId w:val="4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584" w:leader="none"/>
      </w:tabs>
      <w:outlineLvl w:val="8"/>
    </w:pPr>
    <w:rPr>
      <w:rFonts w:ascii="Arial" w:hAnsi="Arial" w:cs="Arial"/>
      <w:sz w:val="22"/>
      <w:szCs w:val="22"/>
    </w:rPr>
  </w:style>
  <w:style w:type="character" w:styleId="898" w:default="1">
    <w:name w:val="Default Paragraph Font"/>
    <w:uiPriority w:val="1"/>
    <w:unhideWhenUsed/>
  </w:style>
  <w:style w:type="table" w:styleId="8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0" w:default="1">
    <w:name w:val="No List"/>
    <w:uiPriority w:val="99"/>
    <w:semiHidden/>
    <w:unhideWhenUsed/>
  </w:style>
  <w:style w:type="paragraph" w:styleId="901" w:customStyle="1">
    <w:name w:val="Знак"/>
    <w:basedOn w:val="88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02">
    <w:name w:val="Balloon Text"/>
    <w:basedOn w:val="888"/>
    <w:semiHidden/>
    <w:rPr>
      <w:rFonts w:ascii="Tahoma" w:hAnsi="Tahoma" w:cs="Tahoma"/>
      <w:sz w:val="16"/>
      <w:szCs w:val="16"/>
    </w:rPr>
  </w:style>
  <w:style w:type="paragraph" w:styleId="903">
    <w:name w:val="Body Text"/>
    <w:basedOn w:val="888"/>
    <w:pPr>
      <w:jc w:val="both"/>
    </w:pPr>
    <w:rPr>
      <w:sz w:val="28"/>
      <w:szCs w:val="28"/>
    </w:rPr>
  </w:style>
  <w:style w:type="paragraph" w:styleId="904">
    <w:name w:val="Title"/>
    <w:basedOn w:val="888"/>
    <w:qFormat/>
    <w:pPr>
      <w:ind w:right="-1050"/>
      <w:jc w:val="center"/>
    </w:pPr>
  </w:style>
  <w:style w:type="paragraph" w:styleId="905">
    <w:name w:val="Header"/>
    <w:basedOn w:val="888"/>
    <w:pPr>
      <w:tabs>
        <w:tab w:val="center" w:pos="4677" w:leader="none"/>
        <w:tab w:val="right" w:pos="9355" w:leader="none"/>
      </w:tabs>
    </w:pPr>
  </w:style>
  <w:style w:type="character" w:styleId="906">
    <w:name w:val="page number"/>
    <w:basedOn w:val="898"/>
  </w:style>
  <w:style w:type="paragraph" w:styleId="907">
    <w:name w:val="Footer"/>
    <w:basedOn w:val="888"/>
    <w:pPr>
      <w:tabs>
        <w:tab w:val="center" w:pos="4677" w:leader="none"/>
        <w:tab w:val="right" w:pos="9355" w:leader="none"/>
      </w:tabs>
    </w:pPr>
  </w:style>
  <w:style w:type="paragraph" w:styleId="908">
    <w:name w:val="Body Text 3"/>
    <w:basedOn w:val="888"/>
    <w:pPr>
      <w:spacing w:after="120"/>
    </w:pPr>
    <w:rPr>
      <w:sz w:val="16"/>
      <w:szCs w:val="16"/>
    </w:rPr>
  </w:style>
  <w:style w:type="paragraph" w:styleId="909">
    <w:name w:val="Body Text Indent 3"/>
    <w:basedOn w:val="888"/>
    <w:link w:val="944"/>
    <w:pPr>
      <w:ind w:left="283"/>
      <w:spacing w:after="120"/>
    </w:pPr>
    <w:rPr>
      <w:sz w:val="16"/>
      <w:szCs w:val="16"/>
    </w:rPr>
  </w:style>
  <w:style w:type="paragraph" w:styleId="910">
    <w:name w:val="Body Text 2"/>
    <w:basedOn w:val="888"/>
    <w:pPr>
      <w:spacing w:after="120" w:line="480" w:lineRule="auto"/>
    </w:pPr>
  </w:style>
  <w:style w:type="paragraph" w:styleId="911">
    <w:name w:val="Body Text Indent 2"/>
    <w:basedOn w:val="888"/>
    <w:pPr>
      <w:ind w:left="283"/>
      <w:spacing w:after="120" w:line="480" w:lineRule="auto"/>
    </w:pPr>
  </w:style>
  <w:style w:type="paragraph" w:styleId="912" w:customStyle="1">
    <w:name w:val="Справа"/>
    <w:basedOn w:val="888"/>
    <w:pPr>
      <w:jc w:val="right"/>
      <w:spacing w:after="120"/>
    </w:pPr>
    <w:rPr>
      <w:sz w:val="28"/>
      <w:szCs w:val="28"/>
    </w:rPr>
  </w:style>
  <w:style w:type="paragraph" w:styleId="913" w:customStyle="1">
    <w:name w:val="Слева (без отступа)"/>
    <w:basedOn w:val="888"/>
    <w:pPr>
      <w:jc w:val="both"/>
      <w:spacing w:after="120"/>
    </w:pPr>
    <w:rPr>
      <w:sz w:val="28"/>
      <w:szCs w:val="28"/>
    </w:rPr>
  </w:style>
  <w:style w:type="character" w:styleId="914" w:customStyle="1">
    <w:name w:val="Стиль полужирный Красный"/>
    <w:basedOn w:val="898"/>
    <w:rPr>
      <w:rFonts w:ascii="Times New Roman" w:hAnsi="Times New Roman" w:cs="Times New Roman"/>
      <w:color w:val="auto"/>
    </w:rPr>
  </w:style>
  <w:style w:type="paragraph" w:styleId="915">
    <w:name w:val="Normal (Web)"/>
    <w:basedOn w:val="888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916">
    <w:name w:val="List 2"/>
    <w:basedOn w:val="888"/>
    <w:pPr>
      <w:ind w:left="1260"/>
      <w:jc w:val="both"/>
      <w:spacing w:line="360" w:lineRule="auto"/>
      <w:tabs>
        <w:tab w:val="num" w:pos="1980" w:leader="none"/>
      </w:tabs>
    </w:pPr>
    <w:rPr>
      <w:sz w:val="28"/>
      <w:szCs w:val="28"/>
    </w:rPr>
  </w:style>
  <w:style w:type="character" w:styleId="917" w:customStyle="1">
    <w:name w:val="комментарий"/>
    <w:basedOn w:val="898"/>
    <w:rPr>
      <w:b/>
      <w:bCs/>
      <w:i/>
      <w:iCs/>
      <w:shd w:val="clear" w:color="auto" w:fill="ffff99"/>
    </w:rPr>
  </w:style>
  <w:style w:type="paragraph" w:styleId="918" w:customStyle="1">
    <w:name w:val="Обычный1"/>
    <w:pPr>
      <w:ind w:firstLine="567"/>
      <w:jc w:val="both"/>
      <w:spacing w:before="120" w:after="120"/>
      <w:widowControl w:val="off"/>
    </w:pPr>
  </w:style>
  <w:style w:type="paragraph" w:styleId="919" w:customStyle="1">
    <w:name w:val="xl48"/>
    <w:basedOn w:val="888"/>
    <w:pPr>
      <w:jc w:val="center"/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styleId="920" w:customStyle="1">
    <w:name w:val="Подподпункт"/>
    <w:basedOn w:val="888"/>
    <w:pPr>
      <w:ind w:left="1008" w:hanging="1008"/>
      <w:jc w:val="both"/>
      <w:spacing w:line="360" w:lineRule="auto"/>
      <w:tabs>
        <w:tab w:val="num" w:pos="1008" w:leader="none"/>
      </w:tabs>
    </w:pPr>
    <w:rPr>
      <w:sz w:val="28"/>
      <w:szCs w:val="28"/>
    </w:rPr>
  </w:style>
  <w:style w:type="paragraph" w:styleId="921" w:customStyle="1">
    <w:name w:val="Ариал"/>
    <w:basedOn w:val="888"/>
    <w:pPr>
      <w:ind w:firstLine="851"/>
      <w:jc w:val="both"/>
      <w:spacing w:before="120" w:after="120" w:line="360" w:lineRule="auto"/>
    </w:pPr>
    <w:rPr>
      <w:rFonts w:ascii="Arial" w:hAnsi="Arial" w:cs="Arial"/>
    </w:rPr>
  </w:style>
  <w:style w:type="paragraph" w:styleId="922">
    <w:name w:val="Body Text Indent"/>
    <w:basedOn w:val="888"/>
    <w:pPr>
      <w:ind w:left="283"/>
      <w:spacing w:after="120"/>
    </w:pPr>
  </w:style>
  <w:style w:type="paragraph" w:styleId="923">
    <w:name w:val="List Bullet"/>
    <w:basedOn w:val="888"/>
    <w:pPr>
      <w:ind w:left="1440" w:hanging="360"/>
      <w:jc w:val="both"/>
      <w:spacing w:after="120" w:line="288" w:lineRule="auto"/>
      <w:tabs>
        <w:tab w:val="left" w:pos="1134" w:leader="none"/>
        <w:tab w:val="num" w:pos="1440" w:leader="none"/>
      </w:tabs>
    </w:pPr>
    <w:rPr>
      <w:sz w:val="28"/>
      <w:szCs w:val="28"/>
    </w:rPr>
  </w:style>
  <w:style w:type="paragraph" w:styleId="924" w:customStyle="1">
    <w:name w:val="Абзац нумеров"/>
    <w:basedOn w:val="888"/>
    <w:pPr>
      <w:ind w:left="1440" w:hanging="360"/>
      <w:jc w:val="both"/>
      <w:spacing w:after="120" w:line="288" w:lineRule="auto"/>
      <w:tabs>
        <w:tab w:val="num" w:pos="1440" w:leader="none"/>
      </w:tabs>
    </w:pPr>
    <w:rPr>
      <w:sz w:val="28"/>
      <w:szCs w:val="28"/>
    </w:rPr>
  </w:style>
  <w:style w:type="paragraph" w:styleId="925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paragraph" w:styleId="926" w:customStyle="1">
    <w:name w:val="ConsNonformat"/>
    <w:pPr>
      <w:ind w:right="19772"/>
      <w:widowControl w:val="off"/>
    </w:pPr>
    <w:rPr>
      <w:rFonts w:ascii="Courier New" w:hAnsi="Courier New" w:cs="Courier New"/>
    </w:rPr>
  </w:style>
  <w:style w:type="paragraph" w:styleId="927">
    <w:name w:val="List Bullet 3"/>
    <w:basedOn w:val="888"/>
    <w:pPr>
      <w:ind w:left="1620" w:hanging="360"/>
      <w:jc w:val="both"/>
      <w:tabs>
        <w:tab w:val="num" w:pos="1620" w:leader="none"/>
      </w:tabs>
    </w:pPr>
    <w:rPr>
      <w:sz w:val="28"/>
      <w:szCs w:val="28"/>
    </w:rPr>
  </w:style>
  <w:style w:type="paragraph" w:styleId="928" w:customStyle="1">
    <w:name w:val="Body Text Indent1"/>
    <w:basedOn w:val="888"/>
    <w:pPr>
      <w:ind w:left="540" w:firstLine="27"/>
      <w:jc w:val="both"/>
      <w:spacing w:line="360" w:lineRule="auto"/>
    </w:pPr>
    <w:rPr>
      <w:sz w:val="28"/>
      <w:szCs w:val="28"/>
    </w:rPr>
  </w:style>
  <w:style w:type="paragraph" w:styleId="929" w:customStyle="1">
    <w:name w:val="Пункт"/>
    <w:basedOn w:val="888"/>
    <w:pPr>
      <w:ind w:left="720" w:hanging="720"/>
      <w:jc w:val="both"/>
      <w:spacing w:line="360" w:lineRule="auto"/>
      <w:tabs>
        <w:tab w:val="num" w:pos="720" w:leader="none"/>
      </w:tabs>
    </w:pPr>
    <w:rPr>
      <w:sz w:val="28"/>
      <w:szCs w:val="28"/>
    </w:rPr>
  </w:style>
  <w:style w:type="paragraph" w:styleId="930" w:customStyle="1">
    <w:name w:val="Подпункт"/>
    <w:basedOn w:val="929"/>
    <w:pPr>
      <w:ind w:left="864" w:hanging="864"/>
      <w:tabs>
        <w:tab w:val="clear" w:pos="720" w:leader="none"/>
        <w:tab w:val="num" w:pos="864" w:leader="none"/>
      </w:tabs>
    </w:pPr>
  </w:style>
  <w:style w:type="paragraph" w:styleId="931">
    <w:name w:val="Caption"/>
    <w:basedOn w:val="888"/>
    <w:next w:val="888"/>
    <w:qFormat/>
    <w:pPr>
      <w:spacing w:before="360"/>
    </w:pPr>
  </w:style>
  <w:style w:type="paragraph" w:styleId="932" w:customStyle="1">
    <w:name w:val="пункт-4"/>
    <w:basedOn w:val="888"/>
    <w:pPr>
      <w:ind w:left="1418" w:hanging="1418"/>
      <w:jc w:val="both"/>
      <w:spacing w:line="360" w:lineRule="auto"/>
      <w:tabs>
        <w:tab w:val="num" w:pos="1418" w:leader="none"/>
      </w:tabs>
    </w:pPr>
  </w:style>
  <w:style w:type="paragraph" w:styleId="933" w:customStyle="1">
    <w:name w:val="lev2"/>
    <w:basedOn w:val="903"/>
    <w:pPr>
      <w:ind w:firstLine="567"/>
      <w:tabs>
        <w:tab w:val="num" w:pos="927" w:leader="none"/>
      </w:tabs>
    </w:pPr>
    <w:rPr>
      <w:color w:val="000000"/>
      <w:sz w:val="24"/>
      <w:szCs w:val="24"/>
    </w:rPr>
  </w:style>
  <w:style w:type="paragraph" w:styleId="934">
    <w:name w:val="Plain Text"/>
    <w:basedOn w:val="888"/>
    <w:rPr>
      <w:rFonts w:ascii="Courier New" w:hAnsi="Courier New" w:cs="Courier New"/>
      <w:sz w:val="20"/>
      <w:szCs w:val="20"/>
    </w:rPr>
  </w:style>
  <w:style w:type="table" w:styleId="935">
    <w:name w:val="Table Grid"/>
    <w:basedOn w:val="89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6">
    <w:name w:val="footnote text"/>
    <w:basedOn w:val="888"/>
    <w:semiHidden/>
    <w:rPr>
      <w:sz w:val="20"/>
      <w:szCs w:val="20"/>
    </w:rPr>
  </w:style>
  <w:style w:type="paragraph" w:styleId="937" w:customStyle="1">
    <w:name w:val="Body"/>
    <w:basedOn w:val="888"/>
    <w:pPr>
      <w:ind w:left="284" w:firstLine="851"/>
      <w:jc w:val="both"/>
      <w:spacing w:line="360" w:lineRule="atLeast"/>
    </w:pPr>
    <w:rPr>
      <w:rFonts w:ascii="Pragmatica" w:hAnsi="Pragmatica"/>
    </w:rPr>
  </w:style>
  <w:style w:type="paragraph" w:styleId="938" w:customStyle="1">
    <w:name w:val="ТекстОбычный"/>
    <w:pPr>
      <w:ind w:firstLine="851"/>
      <w:jc w:val="both"/>
      <w:spacing w:line="360" w:lineRule="auto"/>
    </w:pPr>
    <w:rPr>
      <w:sz w:val="24"/>
    </w:rPr>
  </w:style>
  <w:style w:type="paragraph" w:styleId="939" w:customStyle="1">
    <w:name w:val="Body Text 22"/>
    <w:basedOn w:val="888"/>
    <w:pPr>
      <w:ind w:left="113"/>
      <w:jc w:val="both"/>
      <w:spacing w:after="120"/>
    </w:pPr>
  </w:style>
  <w:style w:type="paragraph" w:styleId="940" w:customStyle="1">
    <w:name w:val="Body Text Indent 31"/>
    <w:basedOn w:val="888"/>
    <w:pPr>
      <w:ind w:left="576"/>
      <w:jc w:val="both"/>
    </w:pPr>
  </w:style>
  <w:style w:type="paragraph" w:styleId="941" w:customStyle="1">
    <w:name w:val="Body Text 32"/>
    <w:basedOn w:val="888"/>
    <w:pPr>
      <w:jc w:val="both"/>
    </w:pPr>
  </w:style>
  <w:style w:type="paragraph" w:styleId="942">
    <w:name w:val="No Spacing"/>
    <w:qFormat/>
    <w:rPr>
      <w:rFonts w:ascii="Calibri" w:hAnsi="Calibri"/>
      <w:sz w:val="22"/>
      <w:szCs w:val="22"/>
    </w:rPr>
  </w:style>
  <w:style w:type="paragraph" w:styleId="943">
    <w:name w:val="Revision"/>
    <w:hidden/>
    <w:uiPriority w:val="99"/>
    <w:semiHidden/>
    <w:rPr>
      <w:sz w:val="24"/>
      <w:szCs w:val="24"/>
    </w:rPr>
  </w:style>
  <w:style w:type="character" w:styleId="944" w:customStyle="1">
    <w:name w:val="Основной текст с отступом 3 Знак"/>
    <w:basedOn w:val="898"/>
    <w:link w:val="909"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05DB0-DACF-4C66-85D8-523CAA027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1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№ 33-11-19/2008 от 22</dc:title>
  <dc:creator>Администратор</dc:creator>
  <cp:revision>39</cp:revision>
  <dcterms:created xsi:type="dcterms:W3CDTF">2019-06-24T09:01:00Z</dcterms:created>
  <dcterms:modified xsi:type="dcterms:W3CDTF">2024-11-28T08:10:31Z</dcterms:modified>
</cp:coreProperties>
</file>